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857350" cy="150018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400" y="128750"/>
                          <a:ext cx="5857350" cy="1500188"/>
                          <a:chOff x="231400" y="128750"/>
                          <a:chExt cx="5900700" cy="1630950"/>
                        </a:xfrm>
                      </wpg:grpSpPr>
                      <pic:pic>
                        <pic:nvPicPr>
                          <pic:cNvPr descr="Pencil Logo Graphic - Free vector graphic on Pixabay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30560" l="0" r="0" t="0"/>
                          <a:stretch/>
                        </pic:blipFill>
                        <pic:spPr>
                          <a:xfrm>
                            <a:off x="1615425" y="526075"/>
                            <a:ext cx="3132650" cy="108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231400" y="128750"/>
                            <a:ext cx="5900700" cy="87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cme" w:cs="Acme" w:eastAsia="Acme" w:hAnsi="Acm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St. Bernard- Elmwood Place Junior High School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cme" w:cs="Acme" w:eastAsia="Acme" w:hAnsi="Acm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uckiest Guy" w:cs="Luckiest Guy" w:eastAsia="Luckiest Guy" w:hAnsi="Luckiest Gu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Supply List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uckiest Guy" w:cs="Luckiest Guy" w:eastAsia="Luckiest Guy" w:hAnsi="Luckiest Gu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cme" w:cs="Acme" w:eastAsia="Acme" w:hAnsi="Acm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7th and 8th grade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57350" cy="150018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350" cy="1500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These are the required materials. Your teachers will let you know on day 1 how to organize your supplies and where to take them:</w:t>
      </w:r>
    </w:p>
    <w:p w:rsidR="00000000" w:rsidDel="00000000" w:rsidP="00000000" w:rsidRDefault="00000000" w:rsidRPr="00000000" w14:paraId="00000002">
      <w:pPr>
        <w:pageBreakBefore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(2) 2” Binders  (with clear plastic covers)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(2 packs) 5 tab dividers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  <w:u w:val="none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(2) Spiral Notebooks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(2) folders with prongs (any color-- plastic preferred)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  <w:u w:val="none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(2) Composition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(2 packs) pencils (pre-sharpened preferred)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(1) pencil pouch or case **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(1 pack) black or blue pens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(1) box tissues (to be turned in to TA teacher)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 (1) pack markers or colored pencils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(2) 4 packs of highlighters (4 different colors)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  <w:u w:val="none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(2) Black Sharpies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  <w:u w:val="none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(1) pack index cards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Headphones for personal use (</w:t>
      </w:r>
      <w:r w:rsidDel="00000000" w:rsidR="00000000" w:rsidRPr="00000000">
        <w:rPr>
          <w:rFonts w:ascii="Acme" w:cs="Acme" w:eastAsia="Acme" w:hAnsi="Acme"/>
          <w:b w:val="1"/>
          <w:i w:val="1"/>
          <w:sz w:val="34"/>
          <w:szCs w:val="34"/>
          <w:u w:val="single"/>
          <w:rtl w:val="0"/>
        </w:rPr>
        <w:t xml:space="preserve">NOT</w:t>
      </w:r>
      <w:r w:rsidDel="00000000" w:rsidR="00000000" w:rsidRPr="00000000">
        <w:rPr>
          <w:rFonts w:ascii="Acme" w:cs="Acme" w:eastAsia="Acme" w:hAnsi="Acme"/>
          <w:b w:val="1"/>
          <w:i w:val="1"/>
          <w:sz w:val="34"/>
          <w:szCs w:val="34"/>
          <w:rtl w:val="0"/>
        </w:rPr>
        <w:t xml:space="preserve"> wireless or bluetooth</w:t>
      </w:r>
      <w:r w:rsidDel="00000000" w:rsidR="00000000" w:rsidRPr="00000000">
        <w:rPr>
          <w:rFonts w:ascii="Acme" w:cs="Acme" w:eastAsia="Acme" w:hAnsi="Acme"/>
          <w:sz w:val="34"/>
          <w:szCs w:val="3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720" w:firstLine="0"/>
        <w:rPr>
          <w:rFonts w:ascii="Acme" w:cs="Acme" w:eastAsia="Acme" w:hAnsi="Acme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Acme" w:cs="Acme" w:eastAsia="Acme" w:hAnsi="Acme"/>
          <w:i w:val="1"/>
          <w:sz w:val="28"/>
          <w:szCs w:val="28"/>
          <w:u w:val="single"/>
        </w:rPr>
      </w:pPr>
      <w:r w:rsidDel="00000000" w:rsidR="00000000" w:rsidRPr="00000000">
        <w:rPr>
          <w:rFonts w:ascii="Acme" w:cs="Acme" w:eastAsia="Acme" w:hAnsi="Acme"/>
          <w:i w:val="1"/>
          <w:sz w:val="28"/>
          <w:szCs w:val="28"/>
          <w:u w:val="single"/>
          <w:rtl w:val="0"/>
        </w:rPr>
        <w:t xml:space="preserve">** Students will be required to carry a Binder and pencil pouch or case with them to every class. Make sure the pencil case  is big enough for pencils, pens, markers/colored pencils, highlighter, headphones.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center"/>
        <w:rPr>
          <w:rFonts w:ascii="Acme" w:cs="Acme" w:eastAsia="Acme" w:hAnsi="Acm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center"/>
        <w:rPr>
          <w:rFonts w:ascii="Acme" w:cs="Acme" w:eastAsia="Acme" w:hAnsi="Acme"/>
          <w:sz w:val="36"/>
          <w:szCs w:val="36"/>
        </w:rPr>
      </w:pPr>
      <w:r w:rsidDel="00000000" w:rsidR="00000000" w:rsidRPr="00000000">
        <w:rPr>
          <w:rFonts w:ascii="Acme" w:cs="Acme" w:eastAsia="Acme" w:hAnsi="Acme"/>
          <w:i w:val="1"/>
          <w:sz w:val="36"/>
          <w:szCs w:val="36"/>
          <w:u w:val="single"/>
          <w:rtl w:val="0"/>
        </w:rPr>
        <w:t xml:space="preserve">Suggested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Acme" w:cs="Acme" w:eastAsia="Acme" w:hAnsi="Acme"/>
          <w:sz w:val="36"/>
          <w:szCs w:val="36"/>
          <w:u w:val="none"/>
        </w:rPr>
      </w:pPr>
      <w:r w:rsidDel="00000000" w:rsidR="00000000" w:rsidRPr="00000000">
        <w:rPr>
          <w:rFonts w:ascii="Acme" w:cs="Acme" w:eastAsia="Acme" w:hAnsi="Acme"/>
          <w:sz w:val="36"/>
          <w:szCs w:val="36"/>
          <w:rtl w:val="0"/>
        </w:rPr>
        <w:t xml:space="preserve">Water bottle </w:t>
      </w: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(to be filled with water only!)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Acme" w:cs="Acme" w:eastAsia="Acme" w:hAnsi="Acme"/>
          <w:sz w:val="28"/>
          <w:szCs w:val="28"/>
          <w:u w:val="none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Acme" w:cs="Acme" w:eastAsia="Acme" w:hAnsi="Acme"/>
          <w:sz w:val="36"/>
          <w:szCs w:val="36"/>
          <w:rtl w:val="0"/>
        </w:rPr>
        <w:t xml:space="preserve">Small carrying case for Chromebook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Acme" w:cs="Acme" w:eastAsia="Acme" w:hAnsi="Acme"/>
          <w:sz w:val="36"/>
          <w:szCs w:val="36"/>
          <w:u w:val="none"/>
        </w:rPr>
      </w:pPr>
      <w:r w:rsidDel="00000000" w:rsidR="00000000" w:rsidRPr="00000000">
        <w:rPr>
          <w:rFonts w:ascii="Acme" w:cs="Acme" w:eastAsia="Acme" w:hAnsi="Acme"/>
          <w:sz w:val="36"/>
          <w:szCs w:val="36"/>
          <w:rtl w:val="0"/>
        </w:rPr>
        <w:t xml:space="preserve">Hand-held pencil sharpener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/>
      </w:pPr>
      <w:r w:rsidDel="00000000" w:rsidR="00000000" w:rsidRPr="00000000">
        <w:rPr>
          <w:rFonts w:ascii="Acme" w:cs="Acme" w:eastAsia="Acme" w:hAnsi="Acme"/>
          <w:i w:val="1"/>
          <w:sz w:val="28"/>
          <w:szCs w:val="28"/>
          <w:rtl w:val="0"/>
        </w:rPr>
        <w:t xml:space="preserve">(Teachers may ask for other materials specific to their class at the start of the year)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m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📌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